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04F1BFB6"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882D74">
        <w:rPr>
          <w:rFonts w:eastAsia="Calibri" w:cs="Calibri"/>
          <w:b/>
          <w:bCs/>
          <w:i/>
          <w:sz w:val="18"/>
        </w:rPr>
        <w:t>20</w:t>
      </w:r>
      <w:r w:rsidRPr="0015181A">
        <w:rPr>
          <w:rFonts w:eastAsia="Calibri" w:cs="Calibri"/>
          <w:b/>
          <w:bCs/>
          <w:i/>
          <w:sz w:val="18"/>
        </w:rPr>
        <w:t xml:space="preserve"> </w:t>
      </w:r>
      <w:r w:rsidR="004A3E65" w:rsidRPr="0015181A">
        <w:rPr>
          <w:rFonts w:eastAsia="Calibri" w:cs="Calibri"/>
          <w:b/>
          <w:bCs/>
          <w:i/>
          <w:sz w:val="18"/>
        </w:rPr>
        <w:t>j</w:t>
      </w:r>
      <w:r w:rsidR="0015181A" w:rsidRPr="0015181A">
        <w:rPr>
          <w:rFonts w:eastAsia="Calibri" w:cs="Calibri"/>
          <w:b/>
          <w:bCs/>
          <w:i/>
          <w:sz w:val="18"/>
        </w:rPr>
        <w:t>anuari</w:t>
      </w:r>
      <w:r w:rsidRPr="0015181A">
        <w:rPr>
          <w:rFonts w:eastAsia="Calibri" w:cs="Calibri"/>
          <w:b/>
          <w:bCs/>
          <w:i/>
          <w:sz w:val="18"/>
        </w:rPr>
        <w:t xml:space="preserve"> 20</w:t>
      </w:r>
      <w:r w:rsidR="0015181A" w:rsidRPr="0015181A">
        <w:rPr>
          <w:rFonts w:eastAsia="Calibri" w:cs="Calibri"/>
          <w:b/>
          <w:bCs/>
          <w:i/>
          <w:sz w:val="18"/>
        </w:rPr>
        <w:t>26</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0" w:type="auto"/>
        <w:tblLook w:val="04A0" w:firstRow="1" w:lastRow="0" w:firstColumn="1" w:lastColumn="0" w:noHBand="0" w:noVBand="1"/>
      </w:tblPr>
      <w:tblGrid>
        <w:gridCol w:w="6513"/>
        <w:gridCol w:w="2117"/>
      </w:tblGrid>
      <w:tr w:rsidR="003340F3" w14:paraId="49A85DC4" w14:textId="77777777" w:rsidTr="000577D0">
        <w:tc>
          <w:tcPr>
            <w:tcW w:w="6941" w:type="dxa"/>
            <w:hideMark/>
          </w:tcPr>
          <w:p w14:paraId="29F0E0AE"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BEMIDDELEND VASTGOEDMAKELAAR: </w:t>
            </w:r>
            <w:r w:rsidRPr="00254CD6">
              <w:rPr>
                <w:b/>
                <w:sz w:val="22"/>
                <w:szCs w:val="22"/>
                <w:lang w:val="nl-BE"/>
              </w:rPr>
              <w:t>AGENCE DE VILLE</w:t>
            </w:r>
          </w:p>
          <w:p w14:paraId="18E8383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BIV-NR: </w:t>
            </w:r>
            <w:r w:rsidRPr="00254CD6">
              <w:rPr>
                <w:b/>
                <w:sz w:val="22"/>
                <w:szCs w:val="22"/>
                <w:lang w:val="nl-BE"/>
              </w:rPr>
              <w:t>507.223</w:t>
            </w:r>
          </w:p>
          <w:p w14:paraId="1FC1A15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KANTOOR + ADRES: </w:t>
            </w:r>
            <w:r w:rsidRPr="00254CD6">
              <w:rPr>
                <w:b/>
                <w:sz w:val="22"/>
                <w:szCs w:val="22"/>
                <w:lang w:val="nl-BE"/>
              </w:rPr>
              <w:t>HOOGSTRAAT 31, 9620 ZOTTEGEM</w:t>
            </w:r>
          </w:p>
          <w:p w14:paraId="1CD762E7" w14:textId="6257A77A" w:rsidR="003340F3" w:rsidRDefault="00254CD6" w:rsidP="00254CD6">
            <w:pPr>
              <w:tabs>
                <w:tab w:val="right" w:leader="dot" w:pos="6804"/>
              </w:tabs>
              <w:spacing w:before="120" w:after="120"/>
              <w:rPr>
                <w:szCs w:val="20"/>
                <w:lang w:val="nl-BE"/>
              </w:rPr>
            </w:pPr>
            <w:r w:rsidRPr="00254CD6">
              <w:rPr>
                <w:sz w:val="22"/>
                <w:szCs w:val="22"/>
                <w:lang w:val="nl-BE"/>
              </w:rPr>
              <w:t xml:space="preserve">BA EN BORGSTELLING : </w:t>
            </w:r>
            <w:r w:rsidRPr="00254CD6">
              <w:rPr>
                <w:b/>
                <w:sz w:val="22"/>
                <w:szCs w:val="22"/>
                <w:lang w:val="nl-BE"/>
              </w:rPr>
              <w:t xml:space="preserve">NV AXA BELGIUM (polisnr. </w:t>
            </w:r>
            <w:r w:rsidRPr="00254CD6">
              <w:rPr>
                <w:b/>
                <w:sz w:val="22"/>
                <w:szCs w:val="22"/>
              </w:rPr>
              <w:t>730.390.160)</w:t>
            </w:r>
          </w:p>
        </w:tc>
        <w:tc>
          <w:tcPr>
            <w:tcW w:w="2122" w:type="dxa"/>
            <w:vAlign w:val="center"/>
            <w:hideMark/>
          </w:tcPr>
          <w:p w14:paraId="0DF9F7E9" w14:textId="2F76A610" w:rsidR="003340F3" w:rsidRDefault="00254CD6">
            <w:pPr>
              <w:jc w:val="center"/>
              <w:rPr>
                <w:szCs w:val="20"/>
                <w:lang w:val="nl-BE"/>
              </w:rPr>
            </w:pPr>
            <w:r w:rsidRPr="002440A1">
              <w:rPr>
                <w:color w:val="A6A6A6" w:themeColor="background1" w:themeShade="A6"/>
                <w:sz w:val="20"/>
                <w:lang w:val="nl-BE" w:eastAsia="nl-BE"/>
              </w:rPr>
              <w:drawing>
                <wp:inline distT="0" distB="0" distL="0" distR="0" wp14:anchorId="75CD8542" wp14:editId="687E1FD2">
                  <wp:extent cx="1181818" cy="1078302"/>
                  <wp:effectExtent l="0" t="0" r="0" b="0"/>
                  <wp:docPr id="7" name="Afbeelding 7" descr="C:\Users\Lesley De Ville\Documents\AGENCE DE VILLE\budget grafix\logo gr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De Ville\Documents\AGENCE DE VILLE\budget grafix\logo grijs.jpg"/>
                          <pic:cNvPicPr>
                            <a:picLocks noChangeAspect="1" noChangeArrowheads="1"/>
                          </pic:cNvPicPr>
                        </pic:nvPicPr>
                        <pic:blipFill>
                          <a:blip r:embed="rId11"/>
                          <a:srcRect/>
                          <a:stretch>
                            <a:fillRect/>
                          </a:stretch>
                        </pic:blipFill>
                        <pic:spPr bwMode="auto">
                          <a:xfrm>
                            <a:off x="0" y="0"/>
                            <a:ext cx="1186552" cy="1082621"/>
                          </a:xfrm>
                          <a:prstGeom prst="rect">
                            <a:avLst/>
                          </a:prstGeom>
                          <a:noFill/>
                          <a:ln w="9525">
                            <a:noFill/>
                            <a:miter lim="800000"/>
                            <a:headEnd/>
                            <a:tailEnd/>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EC16E1E" w14:textId="77777777" w:rsidR="00CC3473" w:rsidRDefault="00CC3473" w:rsidP="00FF1B7C">
      <w:pPr>
        <w:rPr>
          <w:rFonts w:ascii="Calibri" w:hAnsi="Calibri" w:cs="Arial"/>
          <w:b/>
          <w:bCs/>
          <w:sz w:val="40"/>
          <w:szCs w:val="40"/>
        </w:rPr>
      </w:pPr>
    </w:p>
    <w:p w14:paraId="51E661BE" w14:textId="2B62A671" w:rsidR="00CC3473" w:rsidRDefault="002369F6" w:rsidP="00FF1B7C">
      <w:pPr>
        <w:rPr>
          <w:rFonts w:ascii="Calibri" w:hAnsi="Calibri" w:cs="Arial"/>
          <w:b/>
          <w:bCs/>
          <w:sz w:val="40"/>
          <w:szCs w:val="40"/>
        </w:rPr>
      </w:pPr>
      <w:r>
        <w:rPr>
          <w:rFonts w:ascii="Calibri" w:hAnsi="Calibri" w:cs="Arial"/>
          <w:b/>
          <w:bCs/>
          <w:sz w:val="40"/>
          <w:szCs w:val="40"/>
        </w:rPr>
        <w:t>Korenmarkt 30 bus 301</w:t>
      </w:r>
      <w:r w:rsidR="00CC3473">
        <w:rPr>
          <w:rFonts w:ascii="Calibri" w:hAnsi="Calibri" w:cs="Arial"/>
          <w:b/>
          <w:bCs/>
          <w:sz w:val="40"/>
          <w:szCs w:val="40"/>
        </w:rPr>
        <w:t>, 9000 Gent</w:t>
      </w:r>
    </w:p>
    <w:p w14:paraId="532EF6D1" w14:textId="77777777" w:rsidR="00CC3473" w:rsidRPr="00546577" w:rsidRDefault="00CC3473"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E9CFAA0" w:rsidR="00FF1B7C" w:rsidRPr="0004787F" w:rsidRDefault="00DE3325" w:rsidP="00AC57A5">
            <w:pPr>
              <w:rPr>
                <w:rFonts w:ascii="Calibri" w:hAnsi="Calibri"/>
              </w:rPr>
            </w:pPr>
            <w:r>
              <w:rPr>
                <w:rFonts w:ascii="Calibri" w:hAnsi="Calibri"/>
              </w:rPr>
              <w:t>E-mail</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11F7365" w:rsidR="00FF1B7C" w:rsidRPr="0004787F" w:rsidRDefault="00DE3325" w:rsidP="00AC57A5">
            <w:pPr>
              <w:rPr>
                <w:rFonts w:ascii="Calibri" w:hAnsi="Calibri"/>
              </w:rPr>
            </w:pPr>
            <w:r>
              <w:rPr>
                <w:rFonts w:ascii="Calibri" w:hAnsi="Calibri"/>
              </w:rPr>
              <w:t>GSM laatste verhuurder</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390E3C8E" w:rsidR="00FF1B7C" w:rsidRPr="0004787F" w:rsidRDefault="00FF1B7C" w:rsidP="00AC57A5">
            <w:pPr>
              <w:rPr>
                <w:rFonts w:ascii="Calibri" w:hAnsi="Calibri"/>
              </w:rPr>
            </w:pPr>
            <w:r w:rsidRPr="0004787F">
              <w:rPr>
                <w:rFonts w:ascii="Calibri" w:hAnsi="Calibri"/>
              </w:rPr>
              <w:t> </w:t>
            </w:r>
            <w:r w:rsidR="00DE3325">
              <w:rPr>
                <w:rFonts w:ascii="Calibri" w:hAnsi="Calibri"/>
              </w:rPr>
              <w:t>E-mail laatste verhuurder</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CB834AA" w14:textId="77777777" w:rsidR="006C1613" w:rsidRPr="00DE3325" w:rsidRDefault="00FF1B7C" w:rsidP="006C1613">
      <w:pPr>
        <w:numPr>
          <w:ilvl w:val="0"/>
          <w:numId w:val="2"/>
        </w:numPr>
        <w:tabs>
          <w:tab w:val="left" w:pos="-284"/>
          <w:tab w:val="left" w:pos="1985"/>
          <w:tab w:val="left" w:pos="8647"/>
        </w:tabs>
      </w:pPr>
      <w:r w:rsidRPr="00546577">
        <w:rPr>
          <w:rFonts w:ascii="Calibri" w:hAnsi="Calibri"/>
        </w:rPr>
        <w:t>Bewijs van betaling laatste 3 maanden huur</w:t>
      </w:r>
    </w:p>
    <w:p w14:paraId="31F762B8" w14:textId="77777777" w:rsidR="00DE3325" w:rsidRDefault="00DE3325" w:rsidP="006E146B"/>
    <w:p w14:paraId="1661689F" w14:textId="3CBF9983" w:rsidR="00DE3325" w:rsidRDefault="00DE3325" w:rsidP="006C1613">
      <w:pPr>
        <w:numPr>
          <w:ilvl w:val="0"/>
          <w:numId w:val="2"/>
        </w:numPr>
        <w:tabs>
          <w:tab w:val="left" w:pos="-284"/>
          <w:tab w:val="left" w:pos="1985"/>
          <w:tab w:val="left" w:pos="8647"/>
        </w:tabs>
      </w:pPr>
      <w:r>
        <w:t>Motiverende email: met onder andere de reden van verhuis</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7492580C" w14:textId="092EF040" w:rsidR="0015181A" w:rsidRPr="0015181A" w:rsidRDefault="003134C2" w:rsidP="0015181A">
      <w:pPr>
        <w:jc w:val="both"/>
        <w:rPr>
          <w:i/>
          <w:lang w:val="nl-BE"/>
        </w:rPr>
      </w:pPr>
      <w:r w:rsidRPr="003134C2">
        <w:rPr>
          <w:i/>
        </w:rPr>
        <w:t>8</w:t>
      </w:r>
      <w:r w:rsidRPr="003134C2">
        <w:rPr>
          <w:i/>
        </w:rPr>
        <w:tab/>
        <w:t xml:space="preserve">De kandidaat-huurder beschikt over het recht om een klacht in te dienen bij de Gegevensbeschermingsautoriteit </w:t>
      </w:r>
      <w:r w:rsidR="0015181A" w:rsidRPr="0015181A">
        <w:rPr>
          <w:i/>
          <w:lang w:val="nl-BE"/>
        </w:rPr>
        <w:t>(</w:t>
      </w:r>
      <w:hyperlink r:id="rId12" w:history="1">
        <w:r w:rsidR="0015181A" w:rsidRPr="0015181A">
          <w:rPr>
            <w:rStyle w:val="Hyperlink"/>
            <w:i/>
            <w:lang w:val="nl-BE"/>
          </w:rPr>
          <w:t>www.gegevensbeschermingsautoriteit.be</w:t>
        </w:r>
      </w:hyperlink>
      <w:r w:rsidR="0015181A" w:rsidRPr="0015181A">
        <w:rPr>
          <w:i/>
          <w:lang w:val="nl-BE"/>
        </w:rPr>
        <w:t>)</w:t>
      </w:r>
      <w:r w:rsidR="0015181A">
        <w:rPr>
          <w:i/>
          <w:lang w:val="nl-BE"/>
        </w:rPr>
        <w:t>.</w:t>
      </w:r>
      <w:r w:rsidR="0015181A" w:rsidRPr="0015181A">
        <w:rPr>
          <w:i/>
          <w:lang w:val="nl-BE"/>
        </w:rPr>
        <w:t xml:space="preserve"> </w:t>
      </w:r>
    </w:p>
    <w:p w14:paraId="330668ED" w14:textId="2D48BD12" w:rsidR="003134C2" w:rsidRPr="0015181A" w:rsidRDefault="003134C2" w:rsidP="003134C2">
      <w:pPr>
        <w:jc w:val="both"/>
        <w:rPr>
          <w:lang w:val="nl-BE"/>
        </w:rPr>
      </w:pPr>
    </w:p>
    <w:sectPr w:rsidR="003134C2" w:rsidRPr="0015181A" w:rsidSect="006A17E7">
      <w:headerReference w:type="default" r:id="rId13"/>
      <w:footerReference w:type="default" r:id="rId14"/>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7931" w14:textId="77777777" w:rsidR="00007E65" w:rsidRDefault="00007E65" w:rsidP="00FF1B7C">
      <w:r>
        <w:separator/>
      </w:r>
    </w:p>
  </w:endnote>
  <w:endnote w:type="continuationSeparator" w:id="0">
    <w:p w14:paraId="2E2D0197" w14:textId="77777777" w:rsidR="00007E65" w:rsidRDefault="00007E65"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2FD9" w14:textId="77777777" w:rsidR="00007E65" w:rsidRDefault="00007E65" w:rsidP="00FF1B7C">
      <w:r>
        <w:separator/>
      </w:r>
    </w:p>
  </w:footnote>
  <w:footnote w:type="continuationSeparator" w:id="0">
    <w:p w14:paraId="515A363A" w14:textId="77777777" w:rsidR="00007E65" w:rsidRDefault="00007E65"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07E65"/>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181A"/>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369F6"/>
    <w:rsid w:val="00240CC5"/>
    <w:rsid w:val="00242CF4"/>
    <w:rsid w:val="00250066"/>
    <w:rsid w:val="00253DB5"/>
    <w:rsid w:val="00254CD6"/>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36D8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24DC1"/>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37A"/>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055E"/>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6B"/>
    <w:rsid w:val="006E14A4"/>
    <w:rsid w:val="006E2D8A"/>
    <w:rsid w:val="006E358D"/>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2D74"/>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16"/>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393E"/>
    <w:rsid w:val="00A1407D"/>
    <w:rsid w:val="00A15E68"/>
    <w:rsid w:val="00A16AA1"/>
    <w:rsid w:val="00A1754E"/>
    <w:rsid w:val="00A2071C"/>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306"/>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3473"/>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3325"/>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4ADA"/>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2EA6"/>
    <w:rsid w:val="00ED4CB3"/>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15181A"/>
  </w:style>
  <w:style w:type="character" w:styleId="Onopgelostemelding">
    <w:name w:val="Unresolved Mention"/>
    <w:basedOn w:val="Standaardalinea-lettertype"/>
    <w:uiPriority w:val="99"/>
    <w:semiHidden/>
    <w:unhideWhenUsed/>
    <w:rsid w:val="0015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86BD6CA24E4AA4465D113D10E882" ma:contentTypeVersion="14" ma:contentTypeDescription="Create a new document." ma:contentTypeScope="" ma:versionID="37d5bfe8a597029fcd204a7636807a3c">
  <xsd:schema xmlns:xsd="http://www.w3.org/2001/XMLSchema" xmlns:xs="http://www.w3.org/2001/XMLSchema" xmlns:p="http://schemas.microsoft.com/office/2006/metadata/properties" xmlns:ns2="1ecde666-ded2-4c28-b4f3-d6be74eb715f" xmlns:ns3="84d0e1e6-7616-4597-96fb-f96d0e39d853" targetNamespace="http://schemas.microsoft.com/office/2006/metadata/properties" ma:root="true" ma:fieldsID="b1abd918d54a0106640831de44dff8e5" ns2:_="" ns3:_="">
    <xsd:import namespace="1ecde666-ded2-4c28-b4f3-d6be74eb715f"/>
    <xsd:import namespace="84d0e1e6-7616-4597-96fb-f96d0e39d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e666-ded2-4c28-b4f3-d6be74eb7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1e0b46-612c-4395-ae87-6e3f5249a5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e1e6-7616-4597-96fb-f96d0e39d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f6396-98de-46a4-85c8-8677ae6e92d1}" ma:internalName="TaxCatchAll" ma:showField="CatchAllData" ma:web="84d0e1e6-7616-4597-96fb-f96d0e39d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de666-ded2-4c28-b4f3-d6be74eb715f">
      <Terms xmlns="http://schemas.microsoft.com/office/infopath/2007/PartnerControls"/>
    </lcf76f155ced4ddcb4097134ff3c332f>
    <TaxCatchAll xmlns="84d0e1e6-7616-4597-96fb-f96d0e39d853" xsi:nil="true"/>
  </documentManagement>
</p:properties>
</file>

<file path=customXml/itemProps1.xml><?xml version="1.0" encoding="utf-8"?>
<ds:datastoreItem xmlns:ds="http://schemas.openxmlformats.org/officeDocument/2006/customXml" ds:itemID="{24EC574E-00F5-4C71-B47A-2E0C2860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e666-ded2-4c28-b4f3-d6be74eb715f"/>
    <ds:schemaRef ds:uri="84d0e1e6-7616-4597-96fb-f96d0e39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20F46-5C65-4BE8-BCEC-B71B2BA5113F}">
  <ds:schemaRefs>
    <ds:schemaRef ds:uri="http://schemas.microsoft.com/sharepoint/v3/contenttype/forms"/>
  </ds:schemaRefs>
</ds:datastoreItem>
</file>

<file path=customXml/itemProps3.xml><?xml version="1.0" encoding="utf-8"?>
<ds:datastoreItem xmlns:ds="http://schemas.openxmlformats.org/officeDocument/2006/customXml" ds:itemID="{00952D87-7130-407F-BCE8-F4085CF3C260}">
  <ds:schemaRefs>
    <ds:schemaRef ds:uri="http://schemas.microsoft.com/office/2006/metadata/properties"/>
    <ds:schemaRef ds:uri="http://schemas.microsoft.com/office/infopath/2007/PartnerControls"/>
    <ds:schemaRef ds:uri="1ecde666-ded2-4c28-b4f3-d6be74eb715f"/>
    <ds:schemaRef ds:uri="84d0e1e6-7616-4597-96fb-f96d0e39d85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843</Words>
  <Characters>4638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Lesley De Ville</cp:lastModifiedBy>
  <cp:revision>5</cp:revision>
  <dcterms:created xsi:type="dcterms:W3CDTF">2026-02-03T17:05:00Z</dcterms:created>
  <dcterms:modified xsi:type="dcterms:W3CDTF">2026-02-19T16:29:00Z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0x010100C55686BD6CA24E4AA4465D113D10E882</vt:lpwstr>
  </property>
  <property fmtid="{D5CDD505-2E9C-101B-9397-08002B2CF9AE}" pid="3" name="MediaServiceImageTags">
    <vt:lpwstr/>
  </property>
</Properties>
</file>